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85EE8E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C0B63">
        <w:rPr>
          <w:bCs/>
          <w:noProof w:val="0"/>
          <w:sz w:val="24"/>
          <w:szCs w:val="24"/>
        </w:rPr>
        <w:t>2300305</w:t>
      </w:r>
    </w:p>
    <w:p w14:paraId="11776FA6" w14:textId="16428218"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21DA1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1CA4">
        <w:rPr>
          <w:rFonts w:cs="Arial"/>
          <w:b/>
          <w:bCs/>
          <w:sz w:val="24"/>
          <w:lang w:eastAsia="ja-JP"/>
        </w:rPr>
        <w:t>8</w:t>
      </w:r>
      <w:r>
        <w:rPr>
          <w:rFonts w:cs="Arial"/>
          <w:b/>
          <w:bCs/>
          <w:sz w:val="24"/>
          <w:lang w:eastAsia="ja-JP"/>
        </w:rPr>
        <w:t>.</w:t>
      </w:r>
      <w:r w:rsidR="00541CA4">
        <w:rPr>
          <w:rFonts w:cs="Arial"/>
          <w:b/>
          <w:bCs/>
          <w:sz w:val="24"/>
          <w:lang w:eastAsia="ja-JP"/>
        </w:rPr>
        <w:t>12</w:t>
      </w:r>
      <w:r>
        <w:rPr>
          <w:rFonts w:cs="Arial"/>
          <w:b/>
          <w:bCs/>
          <w:sz w:val="24"/>
          <w:lang w:eastAsia="ja-JP"/>
        </w:rPr>
        <w:t>.</w:t>
      </w:r>
      <w:r w:rsidR="00541CA4">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1AC255" w:rsidR="00446C3A" w:rsidRPr="00541CA4" w:rsidRDefault="00446C3A" w:rsidP="00446C3A">
      <w:pPr>
        <w:ind w:left="1985" w:hanging="1985"/>
        <w:rPr>
          <w:rFonts w:ascii="Arial" w:hAnsi="Arial" w:cs="Arial"/>
          <w:b/>
          <w:bCs/>
          <w:color w:val="FF0000"/>
          <w:sz w:val="24"/>
        </w:rPr>
      </w:pPr>
      <w:r w:rsidRPr="00B266B0">
        <w:rPr>
          <w:rFonts w:ascii="Arial" w:hAnsi="Arial" w:cs="Arial"/>
          <w:b/>
          <w:bCs/>
          <w:sz w:val="24"/>
        </w:rPr>
        <w:t>Title:</w:t>
      </w:r>
      <w:r w:rsidRPr="00B266B0">
        <w:rPr>
          <w:rFonts w:ascii="Arial" w:hAnsi="Arial" w:cs="Arial"/>
          <w:b/>
          <w:bCs/>
          <w:sz w:val="24"/>
        </w:rPr>
        <w:tab/>
      </w:r>
      <w:r w:rsidR="00671ABE">
        <w:rPr>
          <w:rFonts w:ascii="Arial" w:hAnsi="Arial" w:cs="Arial"/>
          <w:b/>
          <w:bCs/>
          <w:sz w:val="24"/>
        </w:rPr>
        <w:t xml:space="preserve">Mobile </w:t>
      </w:r>
      <w:r w:rsidR="00507BEA">
        <w:rPr>
          <w:rFonts w:ascii="Arial" w:hAnsi="Arial" w:cs="Arial"/>
          <w:b/>
          <w:bCs/>
          <w:sz w:val="24"/>
        </w:rPr>
        <w:t>IAB mobility-related issues and enhancements</w:t>
      </w:r>
    </w:p>
    <w:p w14:paraId="25F387E8" w14:textId="142AB0D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41CA4" w:rsidRPr="00541CA4">
        <w:rPr>
          <w:rFonts w:ascii="Arial" w:hAnsi="Arial" w:cs="Arial"/>
          <w:b/>
          <w:bCs/>
          <w:sz w:val="24"/>
        </w:rPr>
        <w:t>NR_mobile_IAB</w:t>
      </w:r>
      <w:proofErr w:type="spellEnd"/>
      <w:r w:rsidR="00541CA4" w:rsidRPr="00541CA4">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541CA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23CED8" w14:textId="397D1930" w:rsidR="009F33BC" w:rsidRDefault="009F33BC" w:rsidP="009339CB">
      <w:r>
        <w:t>In RAN2#120, the following agreements and working assumptions were reached related to mobility enhancements for mobile IAB.</w:t>
      </w:r>
    </w:p>
    <w:p w14:paraId="6ABE65B3" w14:textId="77777777" w:rsidR="009F33BC" w:rsidRPr="009F33BC" w:rsidRDefault="009F33BC" w:rsidP="009F33BC">
      <w:pPr>
        <w:numPr>
          <w:ilvl w:val="0"/>
          <w:numId w:val="9"/>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R2 assumes that </w:t>
      </w:r>
      <w:proofErr w:type="gramStart"/>
      <w:r w:rsidRPr="009F33BC">
        <w:rPr>
          <w:rFonts w:ascii="Arial" w:hAnsi="Arial" w:cs="Arial"/>
          <w:b/>
          <w:bCs/>
        </w:rPr>
        <w:t>It</w:t>
      </w:r>
      <w:proofErr w:type="gramEnd"/>
      <w:r w:rsidRPr="009F33BC">
        <w:rPr>
          <w:rFonts w:ascii="Arial" w:hAnsi="Arial" w:cs="Arial"/>
          <w:b/>
          <w:bCs/>
        </w:rPr>
        <w:t xml:space="preserve"> is up to RAN3 or SA2 to decide whether to support early mobile IAB indication in Msg5 because it depends whether donor CU needs to select an AMF supporting mobile IAB. </w:t>
      </w:r>
    </w:p>
    <w:p w14:paraId="255074B9" w14:textId="77777777" w:rsidR="009F33BC" w:rsidRPr="009F33BC" w:rsidRDefault="009F33BC" w:rsidP="009F33BC">
      <w:pPr>
        <w:numPr>
          <w:ilvl w:val="0"/>
          <w:numId w:val="9"/>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R2 assumes that Donor CU can determine mobile IAB node's moving status via legacy reporting (</w:t>
      </w:r>
      <w:proofErr w:type="gramStart"/>
      <w:r w:rsidRPr="009F33BC">
        <w:rPr>
          <w:rFonts w:ascii="Arial" w:hAnsi="Arial" w:cs="Arial"/>
          <w:b/>
          <w:bCs/>
        </w:rPr>
        <w:t>e.g.</w:t>
      </w:r>
      <w:proofErr w:type="gramEnd"/>
      <w:r w:rsidRPr="009F33BC">
        <w:rPr>
          <w:rFonts w:ascii="Arial" w:hAnsi="Arial" w:cs="Arial"/>
          <w:b/>
          <w:bCs/>
        </w:rPr>
        <w:t xml:space="preserve"> mobility state and UE location / velocity specified in SON/MDT), i.e. R2 assumes enhanced / new reporting is not needed. </w:t>
      </w:r>
    </w:p>
    <w:p w14:paraId="1A9A97E1" w14:textId="77777777" w:rsidR="009F33BC" w:rsidRPr="009F33BC" w:rsidRDefault="009F33BC" w:rsidP="009F33BC">
      <w:pPr>
        <w:numPr>
          <w:ilvl w:val="0"/>
          <w:numId w:val="9"/>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A mobile IAB node may camp on and connect to legacy Rel-16/Rel-17 IAB capable cell. </w:t>
      </w:r>
    </w:p>
    <w:p w14:paraId="37C14ED5" w14:textId="77777777" w:rsidR="009F33BC" w:rsidRPr="009F33BC" w:rsidRDefault="009F33BC" w:rsidP="009F33BC">
      <w:pPr>
        <w:numPr>
          <w:ilvl w:val="0"/>
          <w:numId w:val="9"/>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R2 assumes "supporting mobile-IAB" indication is provided by Rel-18 Mobile IAB capable parent cell.</w:t>
      </w:r>
    </w:p>
    <w:p w14:paraId="0DFA0EC9" w14:textId="77777777" w:rsidR="009F33BC" w:rsidRPr="009F33BC" w:rsidRDefault="009F33BC" w:rsidP="009F33BC">
      <w:pPr>
        <w:numPr>
          <w:ilvl w:val="0"/>
          <w:numId w:val="9"/>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Regarding the assumed mobile-IAB cell type indication, RAN2 assumes is may be specified if some related UE behaviour is specified. </w:t>
      </w:r>
    </w:p>
    <w:p w14:paraId="748458CF" w14:textId="145C2E90" w:rsidR="009F33BC" w:rsidRDefault="009F33BC" w:rsidP="00577C27">
      <w:pPr>
        <w:spacing w:after="0"/>
      </w:pPr>
    </w:p>
    <w:p w14:paraId="75D48C80" w14:textId="775CEC6F" w:rsidR="00577C27" w:rsidRPr="00577C27" w:rsidRDefault="00577C27" w:rsidP="009339CB">
      <w:r w:rsidRPr="00577C27">
        <w:t xml:space="preserve">RAN2 also discussed the following </w:t>
      </w:r>
      <w:r>
        <w:t xml:space="preserve">options for </w:t>
      </w:r>
      <w:r w:rsidRPr="00577C27">
        <w:t>conditional handover (CHO) enhancement</w:t>
      </w:r>
      <w:r>
        <w:t>s, where it was noted:</w:t>
      </w:r>
    </w:p>
    <w:p w14:paraId="1FD08E61" w14:textId="054AF1DE" w:rsidR="00577C27" w:rsidRPr="00577C27" w:rsidRDefault="00577C27" w:rsidP="00E508DA">
      <w:pPr>
        <w:pStyle w:val="Doc-text2"/>
        <w:pBdr>
          <w:top w:val="single" w:sz="4" w:space="1" w:color="auto"/>
          <w:left w:val="single" w:sz="4" w:space="4" w:color="auto"/>
          <w:bottom w:val="single" w:sz="4" w:space="1" w:color="auto"/>
          <w:right w:val="single" w:sz="4" w:space="4" w:color="auto"/>
        </w:pBdr>
        <w:ind w:left="720"/>
        <w:rPr>
          <w:rFonts w:ascii="Times New Roman" w:hAnsi="Times New Roman" w:cs="Times New Roman"/>
          <w:i/>
          <w:iCs/>
          <w:lang w:val="en-US"/>
        </w:rPr>
      </w:pPr>
      <w:r w:rsidRPr="00577C27">
        <w:rPr>
          <w:rFonts w:ascii="Times New Roman" w:hAnsi="Times New Roman" w:cs="Times New Roman"/>
          <w:i/>
          <w:iCs/>
          <w:lang w:val="en-US"/>
        </w:rPr>
        <w:t xml:space="preserve">O1) message withholding by the logical source IAB-DU with conditional delivery, e.g., upon on MT migration, </w:t>
      </w:r>
    </w:p>
    <w:p w14:paraId="1EF2DF01" w14:textId="272D734B" w:rsidR="00577C27" w:rsidRPr="00577C27" w:rsidRDefault="00577C27" w:rsidP="00E508DA">
      <w:pPr>
        <w:pStyle w:val="Doc-text2"/>
        <w:pBdr>
          <w:top w:val="single" w:sz="4" w:space="1" w:color="auto"/>
          <w:left w:val="single" w:sz="4" w:space="4" w:color="auto"/>
          <w:bottom w:val="single" w:sz="4" w:space="1" w:color="auto"/>
          <w:right w:val="single" w:sz="4" w:space="4" w:color="auto"/>
        </w:pBdr>
        <w:ind w:left="720"/>
        <w:rPr>
          <w:rFonts w:ascii="Times New Roman" w:hAnsi="Times New Roman" w:cs="Times New Roman"/>
          <w:i/>
          <w:iCs/>
          <w:lang w:val="en-US"/>
        </w:rPr>
      </w:pPr>
      <w:r w:rsidRPr="00577C27">
        <w:rPr>
          <w:rFonts w:ascii="Times New Roman" w:hAnsi="Times New Roman" w:cs="Times New Roman"/>
          <w:i/>
          <w:iCs/>
          <w:lang w:val="en-US"/>
        </w:rPr>
        <w:t xml:space="preserve">O2) conditional execution by the UE based on, e.g., a broadcast indication such as SIB indication of service time or DCI indication of MT-migration, (includes CHO with new trigger). </w:t>
      </w:r>
    </w:p>
    <w:p w14:paraId="6661F2F1" w14:textId="15ACCD14" w:rsidR="00577C27" w:rsidRPr="00577C27" w:rsidRDefault="00577C27" w:rsidP="00E508DA">
      <w:pPr>
        <w:pStyle w:val="Doc-text2"/>
        <w:pBdr>
          <w:top w:val="single" w:sz="4" w:space="1" w:color="auto"/>
          <w:left w:val="single" w:sz="4" w:space="4" w:color="auto"/>
          <w:bottom w:val="single" w:sz="4" w:space="1" w:color="auto"/>
          <w:right w:val="single" w:sz="4" w:space="4" w:color="auto"/>
        </w:pBdr>
        <w:ind w:left="720"/>
        <w:rPr>
          <w:rFonts w:ascii="Times New Roman" w:hAnsi="Times New Roman" w:cs="Times New Roman"/>
          <w:i/>
          <w:iCs/>
          <w:lang w:val="en-US"/>
        </w:rPr>
      </w:pPr>
      <w:r w:rsidRPr="00577C27">
        <w:rPr>
          <w:rFonts w:ascii="Times New Roman" w:hAnsi="Times New Roman" w:cs="Times New Roman"/>
          <w:i/>
          <w:iCs/>
          <w:lang w:val="en-US"/>
        </w:rPr>
        <w:t xml:space="preserve">O3) legacy CHO (with implementation specific </w:t>
      </w:r>
      <w:proofErr w:type="spellStart"/>
      <w:r w:rsidRPr="00577C27">
        <w:rPr>
          <w:rFonts w:ascii="Times New Roman" w:hAnsi="Times New Roman" w:cs="Times New Roman"/>
          <w:i/>
          <w:iCs/>
          <w:lang w:val="en-US"/>
        </w:rPr>
        <w:t>behaviour</w:t>
      </w:r>
      <w:proofErr w:type="spellEnd"/>
      <w:r w:rsidRPr="00577C27">
        <w:rPr>
          <w:rFonts w:ascii="Times New Roman" w:hAnsi="Times New Roman" w:cs="Times New Roman"/>
          <w:i/>
          <w:iCs/>
          <w:lang w:val="en-US"/>
        </w:rPr>
        <w:t xml:space="preserve">, </w:t>
      </w:r>
      <w:proofErr w:type="gramStart"/>
      <w:r w:rsidRPr="00577C27">
        <w:rPr>
          <w:rFonts w:ascii="Times New Roman" w:hAnsi="Times New Roman" w:cs="Times New Roman"/>
          <w:i/>
          <w:iCs/>
          <w:lang w:val="en-US"/>
        </w:rPr>
        <w:t>e.g.</w:t>
      </w:r>
      <w:proofErr w:type="gramEnd"/>
      <w:r w:rsidRPr="00577C27">
        <w:rPr>
          <w:rFonts w:ascii="Times New Roman" w:hAnsi="Times New Roman" w:cs="Times New Roman"/>
          <w:i/>
          <w:iCs/>
          <w:lang w:val="en-US"/>
        </w:rPr>
        <w:t xml:space="preserve"> using source-cell power down or target cell power up triggering the actual HO)</w:t>
      </w:r>
    </w:p>
    <w:p w14:paraId="114BACEC" w14:textId="6EBA4EBF" w:rsidR="00577C27" w:rsidRDefault="00577C27" w:rsidP="00E508DA">
      <w:pPr>
        <w:pBdr>
          <w:top w:val="single" w:sz="4" w:space="1" w:color="auto"/>
          <w:left w:val="single" w:sz="4" w:space="4" w:color="auto"/>
          <w:bottom w:val="single" w:sz="4" w:space="1" w:color="auto"/>
          <w:right w:val="single" w:sz="4" w:space="4" w:color="auto"/>
        </w:pBdr>
        <w:spacing w:after="0"/>
        <w:ind w:left="357"/>
      </w:pPr>
    </w:p>
    <w:p w14:paraId="79C9DE64" w14:textId="1220D9AE" w:rsidR="00577C27" w:rsidRPr="00577C27" w:rsidRDefault="00577C27" w:rsidP="00E508DA">
      <w:pPr>
        <w:pBdr>
          <w:top w:val="single" w:sz="4" w:space="1" w:color="auto"/>
          <w:left w:val="single" w:sz="4" w:space="4" w:color="auto"/>
          <w:bottom w:val="single" w:sz="4" w:space="1" w:color="auto"/>
          <w:right w:val="single" w:sz="4" w:space="4" w:color="auto"/>
        </w:pBdr>
        <w:ind w:left="357"/>
        <w:rPr>
          <w:rFonts w:ascii="Arial" w:hAnsi="Arial" w:cs="Arial"/>
        </w:rPr>
      </w:pPr>
      <w:r w:rsidRPr="00577C27">
        <w:rPr>
          <w:rFonts w:ascii="Arial" w:hAnsi="Arial" w:cs="Arial"/>
        </w:rPr>
        <w:t xml:space="preserve">Chair: From Companies opinions, there seems to be a significant bar for enhancements for connected mode mobility, </w:t>
      </w:r>
      <w:proofErr w:type="gramStart"/>
      <w:r w:rsidRPr="00577C27">
        <w:rPr>
          <w:rFonts w:ascii="Arial" w:hAnsi="Arial" w:cs="Arial"/>
        </w:rPr>
        <w:t>It</w:t>
      </w:r>
      <w:proofErr w:type="gramEnd"/>
      <w:r w:rsidRPr="00577C27">
        <w:rPr>
          <w:rFonts w:ascii="Arial" w:hAnsi="Arial" w:cs="Arial"/>
        </w:rPr>
        <w:t xml:space="preserve"> seems that Options 1 and 3 (as they are Rel17 and earlier with no change) are </w:t>
      </w:r>
      <w:proofErr w:type="spellStart"/>
      <w:r w:rsidRPr="00577C27">
        <w:rPr>
          <w:rFonts w:ascii="Arial" w:hAnsi="Arial" w:cs="Arial"/>
        </w:rPr>
        <w:t>favored</w:t>
      </w:r>
      <w:proofErr w:type="spellEnd"/>
      <w:r w:rsidRPr="00577C27">
        <w:rPr>
          <w:rFonts w:ascii="Arial" w:hAnsi="Arial" w:cs="Arial"/>
        </w:rPr>
        <w:t xml:space="preserve"> by many companies.  </w:t>
      </w:r>
    </w:p>
    <w:p w14:paraId="5818B3DC" w14:textId="18EEB342" w:rsidR="009F33BC" w:rsidRDefault="00577C27" w:rsidP="009339CB">
      <w:r>
        <w:t xml:space="preserve">In this contribution we further discuss </w:t>
      </w:r>
      <w:r w:rsidR="002217D6">
        <w:t xml:space="preserve">the </w:t>
      </w:r>
      <w:r>
        <w:t xml:space="preserve">open issues related to </w:t>
      </w:r>
      <w:proofErr w:type="spellStart"/>
      <w:r>
        <w:t>mIAB</w:t>
      </w:r>
      <w:proofErr w:type="spellEnd"/>
      <w:r>
        <w:t xml:space="preserve"> mobility enhancements.</w:t>
      </w:r>
    </w:p>
    <w:p w14:paraId="7D484B6E" w14:textId="6F11AE64" w:rsidR="009339CB" w:rsidRPr="006E13D1" w:rsidRDefault="009339CB" w:rsidP="009339CB">
      <w:pPr>
        <w:pStyle w:val="Heading1"/>
      </w:pPr>
      <w:r w:rsidRPr="006E13D1">
        <w:t>2</w:t>
      </w:r>
      <w:r w:rsidRPr="006E13D1">
        <w:tab/>
      </w:r>
      <w:r w:rsidR="00577C27">
        <w:t>Discussion</w:t>
      </w:r>
    </w:p>
    <w:p w14:paraId="5982B445" w14:textId="52F5CE4D" w:rsidR="009339CB" w:rsidRPr="006E13D1" w:rsidRDefault="009339CB" w:rsidP="009339CB">
      <w:pPr>
        <w:pStyle w:val="Heading2"/>
      </w:pPr>
      <w:r>
        <w:t>2</w:t>
      </w:r>
      <w:r w:rsidRPr="006E13D1">
        <w:t>.1</w:t>
      </w:r>
      <w:r w:rsidRPr="006E13D1">
        <w:tab/>
      </w:r>
      <w:r w:rsidR="00AA4AD9">
        <w:t>Mobile-IAB node behaviour in legacy IAB-capable cells</w:t>
      </w:r>
    </w:p>
    <w:p w14:paraId="69DCA0F1" w14:textId="745811ED" w:rsidR="00B74452" w:rsidRDefault="00B74452" w:rsidP="008C6AC6">
      <w:r>
        <w:t>In</w:t>
      </w:r>
      <w:r w:rsidR="002434B1">
        <w:t xml:space="preserve"> RAN2#120</w:t>
      </w:r>
      <w:r>
        <w:t>, we discussed which type</w:t>
      </w:r>
      <w:r w:rsidR="00DC5EF8">
        <w:t>s</w:t>
      </w:r>
      <w:r>
        <w:t xml:space="preserve"> of nodes a mobile IAB node may camp on or connect to: </w:t>
      </w:r>
    </w:p>
    <w:p w14:paraId="47F79B5C" w14:textId="77777777" w:rsidR="00B74452" w:rsidRPr="00B74452" w:rsidRDefault="00B74452" w:rsidP="00B74452">
      <w:pPr>
        <w:numPr>
          <w:ilvl w:val="0"/>
          <w:numId w:val="10"/>
        </w:numPr>
        <w:rPr>
          <w:rFonts w:ascii="Arial" w:hAnsi="Arial" w:cs="Arial"/>
          <w:b/>
        </w:rPr>
      </w:pPr>
      <w:r w:rsidRPr="00B74452">
        <w:rPr>
          <w:rFonts w:ascii="Arial" w:hAnsi="Arial" w:cs="Arial"/>
          <w:b/>
        </w:rPr>
        <w:t xml:space="preserve">A mobile IAB node may camp on and connect to legacy Rel-16/Rel-17 IAB capable cell. </w:t>
      </w:r>
    </w:p>
    <w:p w14:paraId="010FFB08" w14:textId="77777777" w:rsidR="00B74452" w:rsidRPr="00B74452" w:rsidRDefault="00B74452" w:rsidP="00B74452">
      <w:pPr>
        <w:numPr>
          <w:ilvl w:val="0"/>
          <w:numId w:val="10"/>
        </w:numPr>
        <w:rPr>
          <w:rFonts w:ascii="Arial" w:hAnsi="Arial" w:cs="Arial"/>
          <w:b/>
        </w:rPr>
      </w:pPr>
      <w:r w:rsidRPr="00B74452">
        <w:rPr>
          <w:rFonts w:ascii="Arial" w:hAnsi="Arial" w:cs="Arial"/>
          <w:b/>
        </w:rPr>
        <w:t>R2 assumes "supporting mobile-IAB" indication is provided by Rel-18 Mobile IAB capable parent cell.</w:t>
      </w:r>
    </w:p>
    <w:p w14:paraId="1BF18294" w14:textId="0A3077EE" w:rsidR="00650EFD" w:rsidRDefault="00BB5223" w:rsidP="008C6AC6">
      <w:r>
        <w:t xml:space="preserve">Allowing a mobile IAB to access different types of nodes has the potential to </w:t>
      </w:r>
      <w:r w:rsidR="00DC5EF8">
        <w:t>greatly increase</w:t>
      </w:r>
      <w:r>
        <w:t xml:space="preserve"> complexity due to different degrees of migration supported (</w:t>
      </w:r>
      <w:proofErr w:type="gramStart"/>
      <w:r>
        <w:t>e.g.</w:t>
      </w:r>
      <w:proofErr w:type="gramEnd"/>
      <w:r>
        <w:t xml:space="preserve"> Rel-16 no migration, Rel-17 partial migration, Rel-18 full migration) and </w:t>
      </w:r>
      <w:r>
        <w:lastRenderedPageBreak/>
        <w:t>different topologies that could arise (e.g. Rel-18 parent node with Rel-16/17 donor node</w:t>
      </w:r>
      <w:r w:rsidR="00650EFD">
        <w:t xml:space="preserve"> vs Rel-16/17 parent with Rel-18 donor, etc.</w:t>
      </w:r>
      <w:r>
        <w:t>)</w:t>
      </w:r>
      <w:r w:rsidR="004F1006">
        <w:t xml:space="preserve">. </w:t>
      </w:r>
      <w:r w:rsidR="00650EFD">
        <w:t>For example, what happens to the mobile IAB if the donor CU needs to change but it is not a Rel-18 CU?</w:t>
      </w:r>
    </w:p>
    <w:p w14:paraId="5CBDEBE8" w14:textId="0C7F10B0" w:rsidR="00650EFD" w:rsidRDefault="000B0DA7" w:rsidP="008C6AC6">
      <w:r>
        <w:t>In our view</w:t>
      </w:r>
      <w:r w:rsidR="00650EFD">
        <w:t xml:space="preserve">, this seems more like a network deployment issue rather than a problem that </w:t>
      </w:r>
      <w:r w:rsidR="00DE067C">
        <w:t>RAN2 or RAN3</w:t>
      </w:r>
      <w:r w:rsidR="00650EFD">
        <w:t xml:space="preserve"> should be optimizing for in the specifications. </w:t>
      </w:r>
    </w:p>
    <w:p w14:paraId="46B2FD55" w14:textId="32CCE2AD" w:rsidR="00DC5EF8" w:rsidRDefault="00650EFD" w:rsidP="008C6AC6">
      <w:r w:rsidRPr="00650EFD">
        <w:rPr>
          <w:b/>
          <w:bCs/>
        </w:rPr>
        <w:t xml:space="preserve">Observation </w:t>
      </w:r>
      <w:r w:rsidR="00DC5EF8">
        <w:rPr>
          <w:b/>
          <w:bCs/>
        </w:rPr>
        <w:t>1</w:t>
      </w:r>
      <w:r w:rsidRPr="002E4D2B">
        <w:t>: A</w:t>
      </w:r>
      <w:r>
        <w:t>llowing mobile IAB nodes to access Rel-16/17 nodes in addition to Rel-18 nodes could create significant complexity; however, this seems like a network deployment issue rather than a specification problem.</w:t>
      </w:r>
    </w:p>
    <w:p w14:paraId="7920D0E0" w14:textId="23978AB1" w:rsidR="00D03CBA" w:rsidRPr="006E13D1" w:rsidRDefault="00D03CBA" w:rsidP="008C6AC6">
      <w:r w:rsidRPr="00F6201D">
        <w:rPr>
          <w:b/>
          <w:bCs/>
        </w:rPr>
        <w:t>Proposal</w:t>
      </w:r>
      <w:r w:rsidR="00F6201D" w:rsidRPr="00F6201D">
        <w:rPr>
          <w:b/>
          <w:bCs/>
        </w:rPr>
        <w:t xml:space="preserve"> 1</w:t>
      </w:r>
      <w:r>
        <w:t xml:space="preserve">: </w:t>
      </w:r>
      <w:r w:rsidR="00F6201D">
        <w:t>N</w:t>
      </w:r>
      <w:r>
        <w:t xml:space="preserve">o further </w:t>
      </w:r>
      <w:r w:rsidR="00507BEA">
        <w:t>enhancements are</w:t>
      </w:r>
      <w:r w:rsidR="00F6201D">
        <w:t xml:space="preserve"> pursued </w:t>
      </w:r>
      <w:r w:rsidR="00191A75">
        <w:t xml:space="preserve">by RAN2 </w:t>
      </w:r>
      <w:r w:rsidR="00F6201D">
        <w:t>to support IAB</w:t>
      </w:r>
      <w:r w:rsidR="00507BEA">
        <w:t xml:space="preserve"> node</w:t>
      </w:r>
      <w:r w:rsidR="00F6201D">
        <w:t xml:space="preserve"> mobility between Rel-18 and legacy nodes.</w:t>
      </w:r>
    </w:p>
    <w:p w14:paraId="6327A5E6" w14:textId="22A2E2C9" w:rsidR="009339CB" w:rsidRPr="006E13D1" w:rsidRDefault="009339CB" w:rsidP="009339CB">
      <w:pPr>
        <w:pStyle w:val="Heading2"/>
      </w:pPr>
      <w:r>
        <w:t>2</w:t>
      </w:r>
      <w:r w:rsidRPr="006E13D1">
        <w:t>.2</w:t>
      </w:r>
      <w:r w:rsidRPr="006E13D1">
        <w:tab/>
      </w:r>
      <w:r w:rsidR="00AA4AD9">
        <w:t>Group mobility of UEs during full migration</w:t>
      </w:r>
    </w:p>
    <w:p w14:paraId="49137246" w14:textId="77777777" w:rsidR="00191A75" w:rsidRDefault="00DA4B45" w:rsidP="00DA4B45">
      <w:r>
        <w:t>G</w:t>
      </w:r>
      <w:r w:rsidRPr="002A466F">
        <w:t xml:space="preserve">roup handover is required </w:t>
      </w:r>
      <w:r>
        <w:t>during</w:t>
      </w:r>
      <w:r w:rsidRPr="002A466F">
        <w:t xml:space="preserve"> full migration</w:t>
      </w:r>
      <w:r>
        <w:t xml:space="preserve"> (performed after partial migration). If the logical DUs of the mobile IAB node cannot be active at the same time (</w:t>
      </w:r>
      <w:proofErr w:type="gramStart"/>
      <w:r>
        <w:t>i.e.</w:t>
      </w:r>
      <w:proofErr w:type="gramEnd"/>
      <w:r>
        <w:t xml:space="preserve"> if one has to be switched off before the other is activated), then </w:t>
      </w:r>
      <w:r w:rsidRPr="002A466F">
        <w:t xml:space="preserve">UEs connected to </w:t>
      </w:r>
      <w:r>
        <w:t>the</w:t>
      </w:r>
      <w:r w:rsidRPr="002A466F">
        <w:t xml:space="preserve"> mobile IAB will more or less have to start simultaneously the re-connection or re-establishment when the serving mobile IAB approaches its terminating point. Taking into account that many UEs are served by a mobile-IAB, </w:t>
      </w:r>
      <w:proofErr w:type="gramStart"/>
      <w:r w:rsidRPr="002A466F">
        <w:t>e.g.</w:t>
      </w:r>
      <w:proofErr w:type="gramEnd"/>
      <w:r w:rsidRPr="002A466F">
        <w:t xml:space="preserve"> within a train, subway or bus, this </w:t>
      </w:r>
      <w:r>
        <w:t>could result in</w:t>
      </w:r>
      <w:r w:rsidRPr="002A466F">
        <w:t xml:space="preserve"> an unwanted signalling storm and failure risk while terminating access to a mobile IAB/changing the cell and (re)attempting to access a service.</w:t>
      </w:r>
      <w:r>
        <w:t xml:space="preserve"> </w:t>
      </w:r>
    </w:p>
    <w:p w14:paraId="5995AE18" w14:textId="31351804" w:rsidR="00191A75" w:rsidRDefault="00195627" w:rsidP="00191A75">
      <w:r>
        <w:t xml:space="preserve">RAN2 has considered three options for group handover in this scenario. </w:t>
      </w:r>
      <w:r w:rsidR="00191A75">
        <w:t xml:space="preserve">In RAN2#120, many companies were of the view that Option 2 should not be pursued any further. In terms of the trade-offs between Option 1 and Option 3, it is not yet clear whether RAN3 has agreed to support CHO in mobile IAB (neither mandated nor precluded). If CHO is supported, then O3 may be applied for Rel-16/Rel-17 UEs. Furthermore, for Rel-17 UEs, the CHO </w:t>
      </w:r>
      <w:proofErr w:type="spellStart"/>
      <w:r w:rsidR="00191A75">
        <w:t>CondEvent</w:t>
      </w:r>
      <w:proofErr w:type="spellEnd"/>
      <w:r w:rsidR="00191A75">
        <w:t xml:space="preserve"> T1 timer might in theory be used to “spread” the signalling to minimize signalling storms. On the other hand, Option 1 may be beneficial if any type of legacy UE is to be supported without any further optimization requirements.</w:t>
      </w:r>
    </w:p>
    <w:p w14:paraId="06710E5F" w14:textId="00B0A138" w:rsidR="00191A75" w:rsidRDefault="00191A75" w:rsidP="00191A75">
      <w:r w:rsidRPr="00191A75">
        <w:rPr>
          <w:b/>
          <w:bCs/>
        </w:rPr>
        <w:t>Observation 2</w:t>
      </w:r>
      <w:r>
        <w:t xml:space="preserve">: </w:t>
      </w:r>
      <w:r w:rsidRPr="00DA4B45">
        <w:t>Option</w:t>
      </w:r>
      <w:r>
        <w:t xml:space="preserve"> 1 can support legacy UEs without further optimization, while Option 3 could be applied to Rel-16/Rel-17 UEs and could mitigate signalling storms in Rel-17 UEs with </w:t>
      </w:r>
      <w:proofErr w:type="spellStart"/>
      <w:r>
        <w:t>CondEvent</w:t>
      </w:r>
      <w:proofErr w:type="spellEnd"/>
      <w:r>
        <w:t xml:space="preserve"> T1 timer.</w:t>
      </w:r>
    </w:p>
    <w:p w14:paraId="471B7A16" w14:textId="15D73AC9" w:rsidR="00DA4B45" w:rsidRPr="00344525" w:rsidRDefault="00DA4B45" w:rsidP="00DA4B45">
      <w:r>
        <w:t xml:space="preserve">However, if the cells of the logical DUs of the mobile IAB can be active simultaneously, then it might be possible for UEs to handover </w:t>
      </w:r>
      <w:r w:rsidR="00195627">
        <w:t xml:space="preserve">sequentially </w:t>
      </w:r>
      <w:r>
        <w:t xml:space="preserve">(one by one), avoiding </w:t>
      </w:r>
      <w:r w:rsidR="00191A75">
        <w:t xml:space="preserve">the </w:t>
      </w:r>
      <w:r>
        <w:t>signalling storm</w:t>
      </w:r>
      <w:r w:rsidR="00191A75">
        <w:t xml:space="preserve"> problem and the need to optimize around group-based handover</w:t>
      </w:r>
      <w:r>
        <w:t>.</w:t>
      </w:r>
    </w:p>
    <w:p w14:paraId="042786BF" w14:textId="4F6F7574" w:rsidR="00DA4B45" w:rsidRDefault="00DA4B45" w:rsidP="00DA4B45">
      <w:r w:rsidRPr="00303D47">
        <w:rPr>
          <w:b/>
          <w:bCs/>
        </w:rPr>
        <w:t xml:space="preserve">Observation </w:t>
      </w:r>
      <w:r w:rsidR="00191A75">
        <w:rPr>
          <w:b/>
          <w:bCs/>
        </w:rPr>
        <w:t>3</w:t>
      </w:r>
      <w:r>
        <w:t xml:space="preserve">: </w:t>
      </w:r>
      <w:r w:rsidRPr="00DA4B45">
        <w:t>Signalling</w:t>
      </w:r>
      <w:r w:rsidRPr="00303D47">
        <w:t xml:space="preserve"> storm</w:t>
      </w:r>
      <w:r>
        <w:t>s</w:t>
      </w:r>
      <w:r w:rsidRPr="00303D47">
        <w:t xml:space="preserve"> </w:t>
      </w:r>
      <w:r>
        <w:t>related to group handover might not be an issue if both cells/logical DUs of the mobile IAB can be active simultaneously.</w:t>
      </w:r>
    </w:p>
    <w:p w14:paraId="7B68FE50" w14:textId="357AECA8" w:rsidR="00DA4B45" w:rsidRDefault="00191A75" w:rsidP="00DA4B45">
      <w:r>
        <w:t>Since i</w:t>
      </w:r>
      <w:r w:rsidR="00DA4B45">
        <w:t>t was</w:t>
      </w:r>
      <w:r>
        <w:t xml:space="preserve"> already</w:t>
      </w:r>
      <w:r w:rsidR="00DA4B45">
        <w:t xml:space="preserve"> agreed in RAN2#119bis-e that RAN2 would focus on the scenario where the logical DUs of the mobile IAB use separate physical cell resources</w:t>
      </w:r>
      <w:r>
        <w:t>,</w:t>
      </w:r>
      <w:r w:rsidR="00DA4B45">
        <w:t xml:space="preserve"> it is possible (although not mandatory) for the cells </w:t>
      </w:r>
      <w:r>
        <w:t xml:space="preserve">of the logical DUs </w:t>
      </w:r>
      <w:r w:rsidR="00DA4B45">
        <w:t>to be active at the same time. Then UEs could be handed over gradually without generating signalling storms.</w:t>
      </w:r>
    </w:p>
    <w:p w14:paraId="05F1345C" w14:textId="06615E67" w:rsidR="00DA4B45" w:rsidRPr="00303D47" w:rsidRDefault="00DA4B45" w:rsidP="00DA4B45">
      <w:r w:rsidRPr="00EB298B">
        <w:rPr>
          <w:b/>
          <w:bCs/>
        </w:rPr>
        <w:t xml:space="preserve">Observation </w:t>
      </w:r>
      <w:r w:rsidR="00191A75">
        <w:rPr>
          <w:b/>
          <w:bCs/>
        </w:rPr>
        <w:t>4</w:t>
      </w:r>
      <w:r w:rsidRPr="00DA4B45">
        <w:t>: I</w:t>
      </w:r>
      <w:r>
        <w:t xml:space="preserve">f the logical DUs of the mobile IAB use separate physical cell resources then it is possible </w:t>
      </w:r>
      <w:r w:rsidR="00191A75">
        <w:t>for</w:t>
      </w:r>
      <w:r>
        <w:t xml:space="preserve"> the cells</w:t>
      </w:r>
      <w:r w:rsidR="00191A75">
        <w:t xml:space="preserve"> to be active</w:t>
      </w:r>
      <w:r>
        <w:t xml:space="preserve"> simultaneously</w:t>
      </w:r>
      <w:r w:rsidR="00191A75">
        <w:t>. Then</w:t>
      </w:r>
      <w:r>
        <w:t xml:space="preserve"> UEs </w:t>
      </w:r>
      <w:r w:rsidR="00191A75">
        <w:t xml:space="preserve">can </w:t>
      </w:r>
      <w:r>
        <w:t>be handed over one by one instead of handing over the whole group of UEs at once</w:t>
      </w:r>
      <w:r w:rsidR="00191A75">
        <w:t>, thereby avoiding signalling storms associated with group handover</w:t>
      </w:r>
      <w:r>
        <w:t>.</w:t>
      </w:r>
    </w:p>
    <w:p w14:paraId="71C71D66" w14:textId="059194B3" w:rsidR="00AA4AD9" w:rsidRPr="006E13D1" w:rsidRDefault="00AA4AD9" w:rsidP="00AA4AD9">
      <w:pPr>
        <w:pStyle w:val="Heading2"/>
      </w:pPr>
      <w:r>
        <w:t>2</w:t>
      </w:r>
      <w:r w:rsidRPr="006E13D1">
        <w:t>.</w:t>
      </w:r>
      <w:r>
        <w:t>3</w:t>
      </w:r>
      <w:r w:rsidRPr="006E13D1">
        <w:tab/>
      </w:r>
      <w:r w:rsidRPr="00AA4AD9">
        <w:t>Preventing inter-donor IAB-node handover to a mobile-IAB cell</w:t>
      </w:r>
    </w:p>
    <w:p w14:paraId="012EBFED" w14:textId="2518CD2E" w:rsidR="00DF7313" w:rsidRPr="00DF7313" w:rsidRDefault="00DF7313" w:rsidP="00DF7313">
      <w:r>
        <w:t xml:space="preserve">Earlier, in </w:t>
      </w:r>
      <w:r w:rsidRPr="00DF7313">
        <w:t>RAN2#119</w:t>
      </w:r>
      <w:r>
        <w:t>, it was</w:t>
      </w:r>
      <w:r w:rsidRPr="00DF7313">
        <w:t xml:space="preserve"> agreed:</w:t>
      </w:r>
    </w:p>
    <w:p w14:paraId="7985A356" w14:textId="77777777" w:rsidR="00DF7313" w:rsidRPr="00DF7313" w:rsidRDefault="00DF7313" w:rsidP="00DF7313">
      <w:pPr>
        <w:numPr>
          <w:ilvl w:val="0"/>
          <w:numId w:val="10"/>
        </w:numPr>
        <w:rPr>
          <w:rFonts w:ascii="Arial" w:hAnsi="Arial" w:cs="Arial"/>
          <w:b/>
        </w:rPr>
      </w:pPr>
      <w:r w:rsidRPr="00DF7313">
        <w:rPr>
          <w:rFonts w:ascii="Arial" w:hAnsi="Arial" w:cs="Arial"/>
          <w:b/>
        </w:rPr>
        <w:t>The method of not broadcasting “</w:t>
      </w:r>
      <w:proofErr w:type="spellStart"/>
      <w:r w:rsidRPr="00DF7313">
        <w:rPr>
          <w:rFonts w:ascii="Arial" w:hAnsi="Arial" w:cs="Arial"/>
          <w:b/>
        </w:rPr>
        <w:t>iab</w:t>
      </w:r>
      <w:proofErr w:type="spellEnd"/>
      <w:r w:rsidRPr="00DF7313">
        <w:rPr>
          <w:rFonts w:ascii="Arial" w:hAnsi="Arial" w:cs="Arial"/>
          <w:b/>
        </w:rPr>
        <w:t>-Support” indication, is sufficient to prevent other IAB-node from accessing mobile IAB (without further spec impact).</w:t>
      </w:r>
    </w:p>
    <w:p w14:paraId="16D81BF2" w14:textId="306FC437" w:rsidR="00DF7313" w:rsidRPr="00DF7313" w:rsidRDefault="00DF7313" w:rsidP="00DF7313">
      <w:r>
        <w:t>We assume that this agreement applies to IAB</w:t>
      </w:r>
      <w:r w:rsidR="0090484A">
        <w:t xml:space="preserve"> </w:t>
      </w:r>
      <w:r>
        <w:t>node integration only. In the context of handover – and particularly with inter-donor handover in mind</w:t>
      </w:r>
      <w:r w:rsidR="00195627">
        <w:t xml:space="preserve"> –</w:t>
      </w:r>
      <w:r>
        <w:t xml:space="preserve"> this agreement could suggest that before measurement reporting, an IAB node is required to </w:t>
      </w:r>
      <w:r w:rsidR="002434B1">
        <w:t xml:space="preserve">first </w:t>
      </w:r>
      <w:r w:rsidR="0090484A">
        <w:t xml:space="preserve">decode </w:t>
      </w:r>
      <w:r>
        <w:t xml:space="preserve">the system information of neighbour cells </w:t>
      </w:r>
      <w:proofErr w:type="gramStart"/>
      <w:r>
        <w:t>in order to</w:t>
      </w:r>
      <w:proofErr w:type="gramEnd"/>
      <w:r>
        <w:t xml:space="preserve"> refrain from reporting cells </w:t>
      </w:r>
      <w:r w:rsidR="002434B1">
        <w:t xml:space="preserve">that are </w:t>
      </w:r>
      <w:r>
        <w:t>not broadcasting the “</w:t>
      </w:r>
      <w:proofErr w:type="spellStart"/>
      <w:r>
        <w:t>iab</w:t>
      </w:r>
      <w:proofErr w:type="spellEnd"/>
      <w:r>
        <w:t xml:space="preserve">-Support” indication. </w:t>
      </w:r>
      <w:r w:rsidR="0090484A">
        <w:t xml:space="preserve">Such a requirement could introduce extra measurement gaps, which could unnecessarily disrupt the backhaul of the IAB node. In our view there might be other </w:t>
      </w:r>
      <w:r w:rsidR="005C66FF">
        <w:t xml:space="preserve">RAN3-related </w:t>
      </w:r>
      <w:r w:rsidR="004A48A8">
        <w:t>options</w:t>
      </w:r>
      <w:r w:rsidR="005C66FF">
        <w:t xml:space="preserve">, e.g. </w:t>
      </w:r>
      <w:r w:rsidR="474DD521">
        <w:t xml:space="preserve">to know whether a target cell belongs to a mobile IAB </w:t>
      </w:r>
      <w:r w:rsidR="005C66FF">
        <w:t xml:space="preserve">based on </w:t>
      </w:r>
      <w:proofErr w:type="spellStart"/>
      <w:r w:rsidR="005C66FF">
        <w:t>XnAP</w:t>
      </w:r>
      <w:proofErr w:type="spellEnd"/>
      <w:r w:rsidR="005C66FF">
        <w:t xml:space="preserve"> procedures,</w:t>
      </w:r>
      <w:r w:rsidR="004A48A8">
        <w:t xml:space="preserve"> for</w:t>
      </w:r>
      <w:r w:rsidR="0090484A">
        <w:t xml:space="preserve"> </w:t>
      </w:r>
      <w:r w:rsidR="004A48A8">
        <w:t>preventing handovers to mobile IAB nodes (</w:t>
      </w:r>
      <w:r w:rsidR="004A48A8" w:rsidRPr="006E6D8F">
        <w:t xml:space="preserve">see </w:t>
      </w:r>
      <w:hyperlink r:id="rId12" w:history="1">
        <w:r w:rsidR="006E6D8F" w:rsidRPr="006E6D8F">
          <w:rPr>
            <w:rStyle w:val="Hyperlink"/>
          </w:rPr>
          <w:t>R3-230172</w:t>
        </w:r>
      </w:hyperlink>
      <w:r w:rsidR="004A48A8">
        <w:t>).</w:t>
      </w:r>
      <w:r w:rsidR="0090484A">
        <w:t xml:space="preserve"> </w:t>
      </w:r>
      <w:r w:rsidR="004A48A8">
        <w:t xml:space="preserve">Hence, we </w:t>
      </w:r>
      <w:r>
        <w:t>would like RAN2 to confirm that</w:t>
      </w:r>
      <w:r w:rsidR="004A48A8">
        <w:t xml:space="preserve"> it is not necessary for an IAB node to receive the system information of neighbour cells in this scenario</w:t>
      </w:r>
      <w:r>
        <w:t>.</w:t>
      </w:r>
    </w:p>
    <w:p w14:paraId="655F4466" w14:textId="4AC747B3" w:rsidR="00AA4AD9" w:rsidRDefault="00DF7313" w:rsidP="00AA4AD9">
      <w:r w:rsidRPr="00DF7313">
        <w:rPr>
          <w:b/>
          <w:bCs/>
        </w:rPr>
        <w:lastRenderedPageBreak/>
        <w:t xml:space="preserve">Proposal </w:t>
      </w:r>
      <w:r w:rsidR="00191A75">
        <w:rPr>
          <w:b/>
          <w:bCs/>
        </w:rPr>
        <w:t>2</w:t>
      </w:r>
      <w:r w:rsidRPr="00DF7313">
        <w:t>:</w:t>
      </w:r>
      <w:r w:rsidR="002E4D2B" w:rsidRPr="002E4D2B">
        <w:t xml:space="preserve"> </w:t>
      </w:r>
      <w:r w:rsidRPr="00DF7313">
        <w:t xml:space="preserve">An IAB node is not required to receive the system information of neighbour cells </w:t>
      </w:r>
      <w:proofErr w:type="gramStart"/>
      <w:r w:rsidR="002434B1">
        <w:t xml:space="preserve">in order </w:t>
      </w:r>
      <w:r w:rsidRPr="00DF7313">
        <w:t>to</w:t>
      </w:r>
      <w:proofErr w:type="gramEnd"/>
      <w:r w:rsidRPr="00DF7313">
        <w:t xml:space="preserve"> refrain from reporting measurements of cells </w:t>
      </w:r>
      <w:r w:rsidR="002434B1">
        <w:t xml:space="preserve">that are </w:t>
      </w:r>
      <w:r w:rsidRPr="00DF7313">
        <w:t>not broadcasting the “</w:t>
      </w:r>
      <w:proofErr w:type="spellStart"/>
      <w:r w:rsidRPr="00DF7313">
        <w:t>iab</w:t>
      </w:r>
      <w:proofErr w:type="spellEnd"/>
      <w:r w:rsidRPr="00DF7313">
        <w:t>-Support” indication.</w:t>
      </w:r>
    </w:p>
    <w:p w14:paraId="36963EBE" w14:textId="5C70E855" w:rsidR="00DC5EF8" w:rsidRDefault="002E4D2B" w:rsidP="00DC5EF8">
      <w:r>
        <w:t>Another issue arises i</w:t>
      </w:r>
      <w:r w:rsidR="00DC5EF8">
        <w:t>f the mobile-IAB-node indication is only carried within UE capabilities and a mobile IAB node is handed over before its source donor receives its capabilities</w:t>
      </w:r>
      <w:r>
        <w:t>. Then the h</w:t>
      </w:r>
      <w:r w:rsidR="00DC5EF8">
        <w:t xml:space="preserve">andover request cannot indicate it as a mobile </w:t>
      </w:r>
      <w:r w:rsidR="00C939A3">
        <w:t>node but</w:t>
      </w:r>
      <w:r w:rsidR="00DC5EF8">
        <w:t xml:space="preserve"> will only contain the legacy IAB-node indication</w:t>
      </w:r>
      <w:r>
        <w:t xml:space="preserve">. This may result in the target donor incorrectly </w:t>
      </w:r>
      <w:proofErr w:type="gramStart"/>
      <w:r>
        <w:t>assuming that</w:t>
      </w:r>
      <w:proofErr w:type="gramEnd"/>
      <w:r>
        <w:t xml:space="preserve"> the mobile IAB node supports child nodes</w:t>
      </w:r>
      <w:r w:rsidR="00DC5EF8">
        <w:t>. However, this seems to be an avoidable corner case.</w:t>
      </w:r>
    </w:p>
    <w:p w14:paraId="3CF1DF9B" w14:textId="5A167013" w:rsidR="00DC5EF8" w:rsidRDefault="00DC5EF8" w:rsidP="00DC5EF8">
      <w:r w:rsidRPr="00A41175">
        <w:rPr>
          <w:b/>
        </w:rPr>
        <w:t xml:space="preserve">Proposal </w:t>
      </w:r>
      <w:r w:rsidR="00507BEA">
        <w:rPr>
          <w:b/>
        </w:rPr>
        <w:t>3</w:t>
      </w:r>
      <w:r>
        <w:t>:</w:t>
      </w:r>
      <w:r w:rsidR="002E4D2B">
        <w:t xml:space="preserve"> </w:t>
      </w:r>
      <w:bookmarkStart w:id="0" w:name="_Hlk126766653"/>
      <w:r>
        <w:t xml:space="preserve">A donor broadcasting </w:t>
      </w:r>
      <w:r w:rsidR="002E4D2B">
        <w:t xml:space="preserve">the </w:t>
      </w:r>
      <w:r>
        <w:t>“</w:t>
      </w:r>
      <w:r w:rsidR="002E4D2B" w:rsidRPr="002E4D2B">
        <w:t>supporting mobile-IAB</w:t>
      </w:r>
      <w:r>
        <w:t>”</w:t>
      </w:r>
      <w:r w:rsidR="002E4D2B">
        <w:t xml:space="preserve"> indication</w:t>
      </w:r>
      <w:r>
        <w:t xml:space="preserve"> </w:t>
      </w:r>
      <w:r w:rsidR="002E4D2B">
        <w:t xml:space="preserve">first </w:t>
      </w:r>
      <w:r>
        <w:t xml:space="preserve">checks the UE capability of an IAB node before configuring child nodes </w:t>
      </w:r>
      <w:r w:rsidR="002E4D2B">
        <w:t>for</w:t>
      </w:r>
      <w:r>
        <w:t xml:space="preserve"> the </w:t>
      </w:r>
      <w:r w:rsidR="002E4D2B">
        <w:t xml:space="preserve">IAB </w:t>
      </w:r>
      <w:r>
        <w:t xml:space="preserve">node or sending </w:t>
      </w:r>
      <w:r w:rsidR="002E4D2B">
        <w:t>a h</w:t>
      </w:r>
      <w:r>
        <w:t>andover request for the node.</w:t>
      </w:r>
      <w:bookmarkEnd w:id="0"/>
    </w:p>
    <w:p w14:paraId="69B7B8E6" w14:textId="69E07FC9" w:rsidR="009339CB" w:rsidRPr="006E13D1" w:rsidRDefault="005A13AB" w:rsidP="009339CB">
      <w:pPr>
        <w:pStyle w:val="Heading1"/>
      </w:pPr>
      <w:r>
        <w:t>3</w:t>
      </w:r>
      <w:r w:rsidR="009339CB" w:rsidRPr="006E13D1">
        <w:tab/>
      </w:r>
      <w:r w:rsidR="009339CB">
        <w:t>Conclusion</w:t>
      </w:r>
    </w:p>
    <w:p w14:paraId="483D2E44" w14:textId="558BF85F" w:rsidR="009339CB" w:rsidRDefault="009339CB" w:rsidP="009339CB"/>
    <w:p w14:paraId="6E24B0F4" w14:textId="75C43D1C" w:rsidR="009339CB" w:rsidRPr="006E13D1" w:rsidRDefault="009339CB" w:rsidP="009339CB">
      <w:r>
        <w:t>This document has made the following observations:</w:t>
      </w:r>
    </w:p>
    <w:p w14:paraId="10A58112" w14:textId="6667A4B4" w:rsidR="009339CB" w:rsidRDefault="009339CB" w:rsidP="009339CB">
      <w:r w:rsidRPr="00B84DB2">
        <w:rPr>
          <w:b/>
        </w:rPr>
        <w:t>Observation 1</w:t>
      </w:r>
      <w:r w:rsidRPr="007A2E55">
        <w:rPr>
          <w:bCs/>
        </w:rPr>
        <w:t>:</w:t>
      </w:r>
      <w:r>
        <w:t xml:space="preserve"> </w:t>
      </w:r>
      <w:r w:rsidR="00507BEA" w:rsidRPr="00507BEA">
        <w:t>Allowing mobile IAB nodes to access Rel-16/17 nodes in addition to Rel-18 nodes could create significant complexity; however, this seems like a network deployment issue rather than a specification problem.</w:t>
      </w:r>
    </w:p>
    <w:p w14:paraId="38554FE7" w14:textId="67102E9B" w:rsidR="009339CB" w:rsidRDefault="009339CB" w:rsidP="009339CB">
      <w:r w:rsidRPr="00B84DB2">
        <w:rPr>
          <w:b/>
        </w:rPr>
        <w:t xml:space="preserve">Observation </w:t>
      </w:r>
      <w:r>
        <w:rPr>
          <w:b/>
        </w:rPr>
        <w:t>2</w:t>
      </w:r>
      <w:r w:rsidRPr="007A2E55">
        <w:rPr>
          <w:bCs/>
        </w:rPr>
        <w:t>:</w:t>
      </w:r>
      <w:r>
        <w:t xml:space="preserve"> </w:t>
      </w:r>
      <w:r w:rsidR="00507BEA" w:rsidRPr="00507BEA">
        <w:t xml:space="preserve">Option 1 can support legacy UEs without further optimization, while Option 3 could be applied to Rel-16/Rel-17 UEs and could mitigate signalling storms in Rel-17 UEs with </w:t>
      </w:r>
      <w:proofErr w:type="spellStart"/>
      <w:r w:rsidR="00507BEA" w:rsidRPr="00507BEA">
        <w:t>CondEvent</w:t>
      </w:r>
      <w:proofErr w:type="spellEnd"/>
      <w:r w:rsidR="00507BEA" w:rsidRPr="00507BEA">
        <w:t xml:space="preserve"> T1 timer.</w:t>
      </w:r>
    </w:p>
    <w:p w14:paraId="12F89E23" w14:textId="592B6102" w:rsidR="00507BEA" w:rsidRDefault="00507BEA" w:rsidP="009339CB">
      <w:r w:rsidRPr="00507BEA">
        <w:rPr>
          <w:b/>
          <w:bCs/>
        </w:rPr>
        <w:t>Observation 3</w:t>
      </w:r>
      <w:r>
        <w:t xml:space="preserve">: </w:t>
      </w:r>
      <w:r w:rsidRPr="00507BEA">
        <w:t>Signalling storms related to group handover might not be an issue if both cells/logical DUs of the mobile IAB can be active simultaneously.</w:t>
      </w:r>
    </w:p>
    <w:p w14:paraId="1D661A61" w14:textId="63CE6292" w:rsidR="00507BEA" w:rsidRDefault="00507BEA" w:rsidP="009339CB">
      <w:r w:rsidRPr="00507BEA">
        <w:rPr>
          <w:b/>
          <w:bCs/>
        </w:rPr>
        <w:t>Observation 4</w:t>
      </w:r>
      <w:r>
        <w:t xml:space="preserve">: </w:t>
      </w:r>
      <w:r w:rsidRPr="00507BEA">
        <w:t>If the logical DUs of the mobile IAB use separate physical cell resources then it is possible for the cells to be active simultaneously. Then UEs can be handed over one by one instead of handing over the whole group of UEs at once, thereby avoiding signalling storms associated with group handover.</w:t>
      </w:r>
    </w:p>
    <w:p w14:paraId="3BE72BE2" w14:textId="77777777" w:rsidR="009339CB" w:rsidRPr="004F4540" w:rsidRDefault="009339CB" w:rsidP="009339CB">
      <w:pPr>
        <w:rPr>
          <w:bCs/>
        </w:rPr>
      </w:pPr>
      <w:r>
        <w:rPr>
          <w:bCs/>
        </w:rPr>
        <w:t>And proposed the following:</w:t>
      </w:r>
    </w:p>
    <w:p w14:paraId="2E8B4436" w14:textId="3BD98FCE" w:rsidR="009339CB" w:rsidRDefault="009339CB" w:rsidP="009339CB">
      <w:r>
        <w:rPr>
          <w:b/>
        </w:rPr>
        <w:t>Proposal</w:t>
      </w:r>
      <w:r w:rsidRPr="00B84DB2">
        <w:rPr>
          <w:b/>
        </w:rPr>
        <w:t xml:space="preserve"> 1</w:t>
      </w:r>
      <w:r w:rsidRPr="007A2E55">
        <w:rPr>
          <w:bCs/>
        </w:rPr>
        <w:t>:</w:t>
      </w:r>
      <w:r>
        <w:t xml:space="preserve"> </w:t>
      </w:r>
      <w:r w:rsidR="00507BEA">
        <w:t>No further enhancements are pursued by RAN2 to support IAB node mobility between Rel-18 and legacy nodes.</w:t>
      </w:r>
    </w:p>
    <w:p w14:paraId="2FC48D8E" w14:textId="0716AD2A" w:rsidR="009339CB" w:rsidRDefault="009339CB" w:rsidP="009339CB">
      <w:r>
        <w:rPr>
          <w:b/>
        </w:rPr>
        <w:t>Proposal</w:t>
      </w:r>
      <w:r w:rsidRPr="00B84DB2">
        <w:rPr>
          <w:b/>
        </w:rPr>
        <w:t xml:space="preserve"> </w:t>
      </w:r>
      <w:r>
        <w:rPr>
          <w:b/>
        </w:rPr>
        <w:t>2</w:t>
      </w:r>
      <w:r w:rsidRPr="007A2E55">
        <w:rPr>
          <w:bCs/>
        </w:rPr>
        <w:t>:</w:t>
      </w:r>
      <w:r>
        <w:t xml:space="preserve"> </w:t>
      </w:r>
      <w:r w:rsidR="00507BEA" w:rsidRPr="00507BEA">
        <w:t xml:space="preserve">An IAB node is not required to receive the system information of neighbour cells </w:t>
      </w:r>
      <w:proofErr w:type="gramStart"/>
      <w:r w:rsidR="00507BEA" w:rsidRPr="00507BEA">
        <w:t>in order to</w:t>
      </w:r>
      <w:proofErr w:type="gramEnd"/>
      <w:r w:rsidR="00507BEA" w:rsidRPr="00507BEA">
        <w:t xml:space="preserve"> refrain from reporting measurements of cells that are not broadcasting the “</w:t>
      </w:r>
      <w:proofErr w:type="spellStart"/>
      <w:r w:rsidR="00507BEA" w:rsidRPr="00507BEA">
        <w:t>iab</w:t>
      </w:r>
      <w:proofErr w:type="spellEnd"/>
      <w:r w:rsidR="00507BEA" w:rsidRPr="00507BEA">
        <w:t>-Support” indication.</w:t>
      </w:r>
    </w:p>
    <w:p w14:paraId="0A2CAF86" w14:textId="36509F30" w:rsidR="00507BEA" w:rsidRPr="006E13D1" w:rsidRDefault="00507BEA" w:rsidP="009339CB">
      <w:r w:rsidRPr="00507BEA">
        <w:rPr>
          <w:b/>
          <w:bCs/>
        </w:rPr>
        <w:t>Proposal 3</w:t>
      </w:r>
      <w:r>
        <w:t xml:space="preserve">: </w:t>
      </w:r>
      <w:r w:rsidRPr="00507BEA">
        <w:t>A donor broadcasting the “supporting mobile-IAB” indication first checks the UE capability of an IAB node before configuring child nodes for the IAB node or sending a handover request for the node.</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511A8" w14:textId="77777777" w:rsidR="006A4A22" w:rsidRDefault="006A4A22">
      <w:r>
        <w:separator/>
      </w:r>
    </w:p>
  </w:endnote>
  <w:endnote w:type="continuationSeparator" w:id="0">
    <w:p w14:paraId="7E3DFDBB" w14:textId="77777777" w:rsidR="006A4A22" w:rsidRDefault="006A4A22">
      <w:r>
        <w:continuationSeparator/>
      </w:r>
    </w:p>
  </w:endnote>
  <w:endnote w:type="continuationNotice" w:id="1">
    <w:p w14:paraId="3596E05C" w14:textId="77777777" w:rsidR="006A4A22" w:rsidRDefault="006A4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967D9" w14:textId="77777777" w:rsidR="006A4A22" w:rsidRDefault="006A4A22">
      <w:r>
        <w:separator/>
      </w:r>
    </w:p>
  </w:footnote>
  <w:footnote w:type="continuationSeparator" w:id="0">
    <w:p w14:paraId="2128D507" w14:textId="77777777" w:rsidR="006A4A22" w:rsidRDefault="006A4A22">
      <w:r>
        <w:continuationSeparator/>
      </w:r>
    </w:p>
  </w:footnote>
  <w:footnote w:type="continuationNotice" w:id="1">
    <w:p w14:paraId="1521345E" w14:textId="77777777" w:rsidR="006A4A22" w:rsidRDefault="006A4A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14C9E"/>
    <w:multiLevelType w:val="multilevel"/>
    <w:tmpl w:val="3568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32ED"/>
    <w:rsid w:val="00094568"/>
    <w:rsid w:val="000B0DA7"/>
    <w:rsid w:val="000B7BCF"/>
    <w:rsid w:val="000C522B"/>
    <w:rsid w:val="000D58AB"/>
    <w:rsid w:val="00112F1A"/>
    <w:rsid w:val="00145075"/>
    <w:rsid w:val="001741A0"/>
    <w:rsid w:val="00175FA0"/>
    <w:rsid w:val="00191A75"/>
    <w:rsid w:val="00194CD0"/>
    <w:rsid w:val="00195627"/>
    <w:rsid w:val="001B49C9"/>
    <w:rsid w:val="001C23F4"/>
    <w:rsid w:val="001C4F79"/>
    <w:rsid w:val="001C7682"/>
    <w:rsid w:val="001F168B"/>
    <w:rsid w:val="001F7831"/>
    <w:rsid w:val="00204045"/>
    <w:rsid w:val="0020712B"/>
    <w:rsid w:val="002217D6"/>
    <w:rsid w:val="0022606D"/>
    <w:rsid w:val="00231728"/>
    <w:rsid w:val="002434B1"/>
    <w:rsid w:val="00244A05"/>
    <w:rsid w:val="00250404"/>
    <w:rsid w:val="00256B74"/>
    <w:rsid w:val="002610D8"/>
    <w:rsid w:val="002747EC"/>
    <w:rsid w:val="002855BF"/>
    <w:rsid w:val="002B2988"/>
    <w:rsid w:val="002C0B63"/>
    <w:rsid w:val="002E4D2B"/>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A48A8"/>
    <w:rsid w:val="004C44D2"/>
    <w:rsid w:val="004D2AEA"/>
    <w:rsid w:val="004D3578"/>
    <w:rsid w:val="004D380D"/>
    <w:rsid w:val="004E213A"/>
    <w:rsid w:val="004F1006"/>
    <w:rsid w:val="004F4540"/>
    <w:rsid w:val="004F73A7"/>
    <w:rsid w:val="00503171"/>
    <w:rsid w:val="00506C28"/>
    <w:rsid w:val="00507BEA"/>
    <w:rsid w:val="00534DA0"/>
    <w:rsid w:val="00541CA4"/>
    <w:rsid w:val="00543E6C"/>
    <w:rsid w:val="00565087"/>
    <w:rsid w:val="0056573F"/>
    <w:rsid w:val="00571279"/>
    <w:rsid w:val="00577C27"/>
    <w:rsid w:val="005A13AB"/>
    <w:rsid w:val="005A49C6"/>
    <w:rsid w:val="005C66FF"/>
    <w:rsid w:val="005C766E"/>
    <w:rsid w:val="005C7CD5"/>
    <w:rsid w:val="00611566"/>
    <w:rsid w:val="00646D99"/>
    <w:rsid w:val="00650EFD"/>
    <w:rsid w:val="00656910"/>
    <w:rsid w:val="006574C0"/>
    <w:rsid w:val="00671ABE"/>
    <w:rsid w:val="00696821"/>
    <w:rsid w:val="006A4A22"/>
    <w:rsid w:val="006C66D8"/>
    <w:rsid w:val="006D1E24"/>
    <w:rsid w:val="006D35DE"/>
    <w:rsid w:val="006E1057"/>
    <w:rsid w:val="006E1417"/>
    <w:rsid w:val="006E6D8F"/>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C6AC6"/>
    <w:rsid w:val="008D2E4D"/>
    <w:rsid w:val="008F396F"/>
    <w:rsid w:val="008F3DCD"/>
    <w:rsid w:val="0090271F"/>
    <w:rsid w:val="00902DB9"/>
    <w:rsid w:val="0090466A"/>
    <w:rsid w:val="0090484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F33BC"/>
    <w:rsid w:val="00A10F02"/>
    <w:rsid w:val="00A17176"/>
    <w:rsid w:val="00A204CA"/>
    <w:rsid w:val="00A209D6"/>
    <w:rsid w:val="00A22738"/>
    <w:rsid w:val="00A36F5F"/>
    <w:rsid w:val="00A430EC"/>
    <w:rsid w:val="00A53724"/>
    <w:rsid w:val="00A54B2B"/>
    <w:rsid w:val="00A703B6"/>
    <w:rsid w:val="00A82346"/>
    <w:rsid w:val="00A9671C"/>
    <w:rsid w:val="00AA1553"/>
    <w:rsid w:val="00AA4AD9"/>
    <w:rsid w:val="00B05380"/>
    <w:rsid w:val="00B05962"/>
    <w:rsid w:val="00B15449"/>
    <w:rsid w:val="00B16C2F"/>
    <w:rsid w:val="00B27303"/>
    <w:rsid w:val="00B47FD1"/>
    <w:rsid w:val="00B516BB"/>
    <w:rsid w:val="00B74452"/>
    <w:rsid w:val="00B7538C"/>
    <w:rsid w:val="00B84DB2"/>
    <w:rsid w:val="00BB5223"/>
    <w:rsid w:val="00BC3555"/>
    <w:rsid w:val="00C12B51"/>
    <w:rsid w:val="00C24650"/>
    <w:rsid w:val="00C25465"/>
    <w:rsid w:val="00C33079"/>
    <w:rsid w:val="00C55A12"/>
    <w:rsid w:val="00C6553E"/>
    <w:rsid w:val="00C83A13"/>
    <w:rsid w:val="00C86F10"/>
    <w:rsid w:val="00C9068C"/>
    <w:rsid w:val="00C92967"/>
    <w:rsid w:val="00C939A3"/>
    <w:rsid w:val="00CA3D0C"/>
    <w:rsid w:val="00CA654B"/>
    <w:rsid w:val="00CB72B8"/>
    <w:rsid w:val="00CC0D23"/>
    <w:rsid w:val="00CD0BA8"/>
    <w:rsid w:val="00CD4C7B"/>
    <w:rsid w:val="00CD58FE"/>
    <w:rsid w:val="00D03CBA"/>
    <w:rsid w:val="00D33BE3"/>
    <w:rsid w:val="00D3792D"/>
    <w:rsid w:val="00D54820"/>
    <w:rsid w:val="00D55E47"/>
    <w:rsid w:val="00D62E19"/>
    <w:rsid w:val="00D67CD1"/>
    <w:rsid w:val="00D738D6"/>
    <w:rsid w:val="00D80795"/>
    <w:rsid w:val="00D854BE"/>
    <w:rsid w:val="00D87E00"/>
    <w:rsid w:val="00D9134D"/>
    <w:rsid w:val="00D96D11"/>
    <w:rsid w:val="00DA4B45"/>
    <w:rsid w:val="00DA7A03"/>
    <w:rsid w:val="00DB0DB8"/>
    <w:rsid w:val="00DB1818"/>
    <w:rsid w:val="00DC309B"/>
    <w:rsid w:val="00DC4DA2"/>
    <w:rsid w:val="00DC5261"/>
    <w:rsid w:val="00DC5EF8"/>
    <w:rsid w:val="00DD6335"/>
    <w:rsid w:val="00DE067C"/>
    <w:rsid w:val="00DE25D2"/>
    <w:rsid w:val="00DF7313"/>
    <w:rsid w:val="00DF7C20"/>
    <w:rsid w:val="00E038FB"/>
    <w:rsid w:val="00E46C08"/>
    <w:rsid w:val="00E471CF"/>
    <w:rsid w:val="00E508DA"/>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201D"/>
    <w:rsid w:val="00F653B8"/>
    <w:rsid w:val="00F71B89"/>
    <w:rsid w:val="00F7353C"/>
    <w:rsid w:val="00F76F8F"/>
    <w:rsid w:val="00F87257"/>
    <w:rsid w:val="00F941DF"/>
    <w:rsid w:val="00FA1266"/>
    <w:rsid w:val="00FB36FA"/>
    <w:rsid w:val="00FC1192"/>
    <w:rsid w:val="00FE106D"/>
    <w:rsid w:val="00FE251B"/>
    <w:rsid w:val="470F955C"/>
    <w:rsid w:val="474DD5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577C27"/>
    <w:rPr>
      <w:rFonts w:ascii="Arial" w:eastAsia="MS Mincho" w:hAnsi="Arial" w:cs="Arial"/>
      <w:szCs w:val="24"/>
    </w:rPr>
  </w:style>
  <w:style w:type="paragraph" w:customStyle="1" w:styleId="Doc-text2">
    <w:name w:val="Doc-text2"/>
    <w:basedOn w:val="Normal"/>
    <w:link w:val="Doc-text2Char"/>
    <w:qFormat/>
    <w:rsid w:val="00577C27"/>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uiPriority w:val="34"/>
    <w:qFormat/>
    <w:rsid w:val="008C6AC6"/>
    <w:pPr>
      <w:ind w:left="720"/>
      <w:contextualSpacing/>
    </w:pPr>
  </w:style>
  <w:style w:type="character" w:styleId="CommentReference">
    <w:name w:val="annotation reference"/>
    <w:basedOn w:val="DefaultParagraphFont"/>
    <w:rsid w:val="00DF7313"/>
    <w:rPr>
      <w:sz w:val="16"/>
      <w:szCs w:val="16"/>
    </w:rPr>
  </w:style>
  <w:style w:type="paragraph" w:styleId="CommentText">
    <w:name w:val="annotation text"/>
    <w:basedOn w:val="Normal"/>
    <w:link w:val="CommentTextChar"/>
    <w:rsid w:val="00DF7313"/>
  </w:style>
  <w:style w:type="character" w:customStyle="1" w:styleId="CommentTextChar">
    <w:name w:val="Comment Text Char"/>
    <w:basedOn w:val="DefaultParagraphFont"/>
    <w:link w:val="CommentText"/>
    <w:rsid w:val="00DF7313"/>
    <w:rPr>
      <w:lang w:eastAsia="en-US"/>
    </w:rPr>
  </w:style>
  <w:style w:type="paragraph" w:styleId="CommentSubject">
    <w:name w:val="annotation subject"/>
    <w:basedOn w:val="CommentText"/>
    <w:next w:val="CommentText"/>
    <w:link w:val="CommentSubjectChar"/>
    <w:rsid w:val="00DF7313"/>
    <w:rPr>
      <w:b/>
      <w:bCs/>
    </w:rPr>
  </w:style>
  <w:style w:type="character" w:customStyle="1" w:styleId="CommentSubjectChar">
    <w:name w:val="Comment Subject Char"/>
    <w:basedOn w:val="CommentTextChar"/>
    <w:link w:val="CommentSubject"/>
    <w:rsid w:val="00DF7313"/>
    <w:rPr>
      <w:b/>
      <w:bCs/>
      <w:lang w:eastAsia="en-US"/>
    </w:rPr>
  </w:style>
  <w:style w:type="paragraph" w:customStyle="1" w:styleId="Agreement">
    <w:name w:val="Agreement"/>
    <w:basedOn w:val="Normal"/>
    <w:next w:val="Normal"/>
    <w:qFormat/>
    <w:rsid w:val="00DF7313"/>
    <w:pPr>
      <w:numPr>
        <w:numId w:val="10"/>
      </w:numPr>
      <w:tabs>
        <w:tab w:val="clear" w:pos="1352"/>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49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8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9/Docs/R3-23017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5AIRPNAIUNRU-859666464-13282</_dlc_DocId>
    <_dlc_DocIdUrl xmlns="71c5aaf6-e6ce-465b-b873-5148d2a4c105">
      <Url>https://nokia.sharepoint.com/sites/c5g/e2earch/_layouts/15/DocIdRedir.aspx?ID=5AIRPNAIUNRU-859666464-13282</Url>
      <Description>5AIRPNAIUNRU-859666464-13282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elements/1.1/"/>
    <ds:schemaRef ds:uri="http://www.w3.org/XML/1998/namespace"/>
    <ds:schemaRef ds:uri="http://schemas.microsoft.com/office/infopath/2007/PartnerControls"/>
    <ds:schemaRef ds:uri="http://schemas.microsoft.com/office/2006/documentManagement/types"/>
    <ds:schemaRef ds:uri="83f22d2f-d16e-4be6-ad4f-29fa0b067c3c"/>
    <ds:schemaRef ds:uri="http://purl.org/dc/dcmitype/"/>
    <ds:schemaRef ds:uri="a3840f4f-04be-43d1-b2ef-6ff1382503c7"/>
    <ds:schemaRef ds:uri="http://schemas.microsoft.com/office/2006/metadata/properties"/>
    <ds:schemaRef ds:uri="http://schemas.openxmlformats.org/package/2006/metadata/core-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1431</Words>
  <Characters>8161</Characters>
  <Application>Microsoft Office Word</Application>
  <DocSecurity>0</DocSecurity>
  <Lines>68</Lines>
  <Paragraphs>19</Paragraphs>
  <ScaleCrop>false</ScaleCrop>
  <Manager/>
  <Company>Nokia</Company>
  <LinksUpToDate>false</LinksUpToDate>
  <CharactersWithSpaces>9573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2</cp:revision>
  <dcterms:created xsi:type="dcterms:W3CDTF">2023-02-16T16:19:00Z</dcterms:created>
  <dcterms:modified xsi:type="dcterms:W3CDTF">2023-02-16T16:19:00Z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54e1bc7a-2f38-494e-a298-61a7d728f210</vt:lpwstr>
  </property>
</Properties>
</file>